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329</w:t>
      </w:r>
    </w:p>
    <w:p>
      <w:r>
        <w:t>Bundesgericht (BGE), 2000-07-26, DE</w:t>
      </w:r>
    </w:p>
    <w:p>
      <w:r>
        <w:rPr>
          <w:b/>
        </w:rPr>
        <w:t xml:space="preserve">Quelle: </w:t>
      </w:r>
      <w:r>
        <w:t>https://mcp.opencaselaw.ch/entscheid/bge_126 II 329</w:t>
      </w:r>
    </w:p>
    <w:p>
      <w:r>
        <w:t>FR: ATF 126 II 329</w:t>
      </w:r>
    </w:p>
    <w:p>
      <w:r>
        <w:t>IT: DTF 126 II 329</w:t>
      </w:r>
    </w:p>
    <w:p>
      <w:pPr>
        <w:pStyle w:val="Heading2"/>
      </w:pPr>
      <w:r>
        <w:t>Regeste</w:t>
      </w:r>
    </w:p>
    <w:p>
      <w:r>
        <w:t>Regeste Art. 17 Abs. 2 ANAG; Familiennachzug bei zusammenlebenden Eltern. Nachträgliche Ausübung des Familiennachzugsrechts für Kinder. Unterschiedliche Voraussetzungen für getrennte Elternteile einerseits und zusammenlebende Eltern andererseits; Vorbehalt des Rechtsmissbrauches (E. 2-4).</w:t>
      </w:r>
    </w:p>
    <w:p>
      <w:pPr>
        <w:pStyle w:val="Heading2"/>
      </w:pPr>
      <w:r>
        <w:t>Erwägungen</w:t>
      </w:r>
    </w:p>
    <w:p>
      <w:r>
        <w:rPr>
          <w:b/>
        </w:rPr>
        <w:t>E. 2</w:t>
      </w:r>
    </w:p>
    <w:p>
      <w:r>
        <w:t>a) Gemäss Art. 17 Abs. 2 Satz 3 des Bundesgesetzes vom 26. März 1931 über Aufenthalt und Niederlassung der Ausländer (ANAG; SR 142.20) haben ledige Kinder von Ausländern, die in der Schweiz niedergelassen sind, Anspruch auf Einbezug in die Niederlassungsbewilligung ihrer Eltern, wenn sie mit diesen zusammenwohnen und noch nicht 18 Jahre alt sind. Zweck des sogenannten Familiennachzugs ist es, das Leben in der Familiengemeinschaft zu ermöglichen. Der Gesetzeswortlaut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daher auf Familien zugeschnitten, in denen die (leiblichen) Eltern einen gemeinsamen ehelichen Haushalt führen (grundlegend: BGE 118 Ib 153 E. 2b S. 159). BGE 126 II 329 S. 331 b) Bisher hatte das Bundesgericht vornehmlich Streitfälle zu beurteilen, in denen ein (vom anderen Elternteil) geschiedener oder getrennt lebender Ausländer allein den Nachzug seiner Kinder verlangte (so zuletzt: BGE 125 II 633 , 585; BGE 124 II 361 ; BGE 122 I 267 ; BGE 122 II 385 ). Weil der andere Elternteil jeweilen im Ausland verblieb, ging es dabei nicht um die Zusammenführung der Gesamtfamilie. Das Bundesgericht hat es deshalb abgelehnt, einen bedingungslosen Anspruch auf Nachzug der Kinder anzunehmen (grundlegend: BGE BGE 118 Ib 153 E. 2b S. 159). Es erachtete einen solchen als nicht dem Gesetzeszweck entsprechend und prüfte differenziert, ob im konkreten Fall ein Nachzugsrecht bestehe. Dabei hat es mehrfach festgehalten, das Ziel, das familiäre Zusammenleben zu ermöglichen, werde verfehlt, wenn der in der Schweiz niedergelassene Elternteil das Kind erst kurz vor Erreichen des 18. Altersjahres zu sich hole, nachdem er jahrelang von ihm getrennt gelebt habe (vgl. BGE 125 II 633 E. 3a S. 640 mit Hinweisen). Eine Ausnahme kann nur gelten, wenn aus den Umständen des Einzelfalls gute Gründe dafür ersichtlich sind, dass die Familiengemeinschaft in der Schweiz erst nach Jahren hergestellt wird. Das gilt in besonderem Masse dann, wenn das Kind, welches nachgezogen werden soll, bereits einmal in der Schweiz gelebt hat und danach definitiv wieder in sein Heimatland zurückgekehrt ist (vgl. BGE 125 II 585 E. 2a S. 587 mit Hinweisen). Voraussetzung für ein Nachzugsrecht ist generell, dass der in der Schweiz lebende Elternteil die vorrangige familiäre Beziehung zum betroffenen Kind unterhält ( BGE 125 II 633 E. 3a S. 640 mit Hinweisen), wobei zu berücksichtigen ist, bei welchem Elternteil das Kind bisher gelebt hat und wem die elterliche Gewalt zukommt ( BGE 125 II 585 E. 2a S. 587). c) Die Vorinstanz hat sich im angefochtenen Urteil nicht vorbehaltlos auf die dargestellte Rechtsprechung gestützt. Sie hat die Auffassung vertreten, die Einschränkungen des Nachzugsrechts, welche die Praxis entwickelt hat, gälten nur für geschiedene oder getrennt lebende Eltern. Einem gemeinsamen Kind von Eltern, die in einer "intakten Ehe" lebten, komme gestützt auf Art. 17 Abs. 2 ANAG grundsätzlich ein (unbedingter) Rechtsanspruch auf Einreise und Niederlassung zu. Vorbehalten bleibe einzig ein Erlöschen des Anspruchs wegen Verstosses gegen die öffentliche Ordnung (vgl. Art. 17 Abs. 2 Satz 4 ANAG ) sowie das Rechtsmissbrauchsverbot. Das Bundesamt für Ausländerfragen will demgegenüber aus der bundesgerichtlichen Rechtsprechung ableiten, Art. 17 Abs. 2 ANAG sei nur dann direkt anwendbar, wenn die Kinder verheirateter Eltern BGE 126 II 329 S. 332 zusammen mit dem zunächst im Ausland verbliebenen Ehepartner nachgezogen würden. Entsprechend komme die fragliche Bestimmung vorliegend lediglich analog zur Anwendung, lebe die Beschwerdegegnerin 3 doch heute als einzige der achtköpfigen Familie in ihrer ursprünglichen Heimat. Das Gesuch der Beschwerdegegner sei mithin bereits deshalb abzuweisen, weil sich diese - nach einer Gesamtwürdigung aller relevanten Umstände - in Umgehungsabsicht auf ihr Nachzugsrecht beriefen; nicht erforderlich sei, dass das Gesuch geradezu rechtsmissbräuchlich sei.</w:t>
      </w:r>
    </w:p>
    <w:p>
      <w:r>
        <w:rPr>
          <w:b/>
        </w:rPr>
        <w:t>E. 3</w:t>
      </w:r>
    </w:p>
    <w:p>
      <w:r>
        <w:t>a) Die publizierte bundesgerichtliche Rechtsprechung befasst sich in der Tat überwiegend mit Kindern geschiedener oder getrennt lebender Eltern (vgl. aber: BGE 119 Ib 81 ). Die familiäre Situation, welche dieser Praxis zugrunde liegt, ist damit eine andere als jene von Kindern, deren Eltern sich beide in der Schweiz niedergelassen haben und einen gemeinsamen ehelichen Haushalt führen. Bei einem Kind getrennt lebender Eltern führt der Umzug in die Schweiz - namentlich dann, wenn das Kind bisher im Ausland vom andern Elternteil selbst betreut worden ist - nicht ohne weiteres zu einer engeren Einbindung in eine Familiengemeinschaft. Es wird lediglich die Obhut eines Elternteils durch jene des andern ersetzt, ohne dass die Familie als Ganzes näher zusammengeführt würde. In solchen Fällen setzt der nachträgliche Nachzug eines Kindes daher voraus, dass eine vorrangige Bindung des Kindes zum in der Schweiz lebenden Elternteil nachgewiesen ist und stichhaltige familiäre Gründe, zum Beispiel eine Änderung der Betreuungsmöglichkeiten, dieses Vorgehen rechtfertigen (vgl. E. 2b). b) Demgegenüber stellt der Familiennachzug bei Eltern, die in der Schweiz zusammenleben, jene Familienverhältnisse her, die durch Art. 17 Abs. 2 ANAG geschützt werden sollen: Sinn und Zweck dieser Bestimmung ist es, den Eltern zu ermöglichen, ihre gemeinsamen Kinder selbst zu erziehen und zu betreuen. Dem Schutz des Familienlebens (vgl. Art. 8 EMRK )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praxisgemäss das Bestehen eines Nachzugsrechts eines Elternteils allein geprüft wird, können deshalb nicht ohne weiteres auf intakte Familien übertragen werden. Entgegen der Auffassung des beschwerdeführenden Bundesamts ergibt sich aus der publizierten Rechtsprechung nichts BGE 126 II 329 S. 333 anderes: Das Bundesgericht hat seine restriktive Praxis stets damit begründet, dass bei Kindern getrennt lebender Eltern nicht der von Art. 17 Abs. 2 ANAG verfolgte Schutz der Gesamtfamilie in Frage stehe (vgl. E. 2a). Damit hat es sich (implizit) vorbehalten, im Fall zusammenlebender Eltern andere Akzente zu setzen. Der nachträgliche Familiennachzug durch zusammenlebende Eltern ist deshalb möglich, ohne dass besondere stichhaltige Gründe die beabsichtigte Änderung der Betreuungsverhältnisse rechtfertigen müssen. Innerhalb der allgemeinen Schranken von Art. 17 Abs. 2 Satz 3 ANAG ist der Nachzug von gemeinsamen Kindern durch beide Elternteile zusammen grundsätzlich jederzeit zulässig; vorbehalten bleibt einzig das Rechtsmissbrauchsverbot. Je länger mit der Ausübung des Nachzugsrechtes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w:t>
      </w:r>
    </w:p>
    <w:p>
      <w:r>
        <w:rPr>
          <w:b/>
        </w:rPr>
        <w:t>E. 4</w:t>
      </w:r>
    </w:p>
    <w:p>
      <w:r>
        <w:t>a) Das streitige Gesuch um Familiennachzug wurde erst gestellt, als C.S. 151/2 Jahre alt war. Dennoch schliesst nicht bereits ihr Alter aus, dass es den Beschwerdegegnern mit ihrem Gesuch tatsächlich um das familiäre Zusammenleben geht. Soweit das Bundesamt das Gegenteil annimmt, verkennt es, dass die gesetzliche Altersgrenze nicht ihres Inhalts entleert werden darf; genau dies wäre das Ergebnis einer Praxis, die Jugendlichen bereits zweieinhalb Jahre vor Erreichen des 18. Altersjahrs generell jeglichen Anspruch auf Einbezug in die Niederlassungsbewilligung ihrer Eltern absprechen würde. Zwar erscheint umso weniger glaubwürdig, dass vorrangig die Zusammenführung der Familie angestrebt wird, je näher das Alter des betreffenden Kindes bei der Grenze von 18 Jahren liegt; gänzlich ausgeschlossen ist der Familiennachzug jedoch erst bei deren Erreichen. Vorliegend hat das Verwaltungsgericht zutreffend ausgeführt, die Beschwerdegegnerin 3 bedürfe auch zum Zeitpunkt der Gesuchseinreichung noch einer altersgerechten Fürsorge und Erziehung. Es leuchtet ein, dass ihr diese bei den Eltern und den zwei jüngeren Geschwistern besser zuteil werden kann als bei ihrer alleinstehenden, offenbar leicht kränkelnden Grossmutter. b) Im Unterschied zum Sachverhalt, der in BGE 119 Ib 81 zu beurteilen war, hat das vorliegende Gesuch um Familiennachzug nicht BGE 126 II 329 S. 334 missbräuchlichen Charakter (vgl. BGE 119 Ib 81 E. 3b S. 89). Im Gegenteil: Die Vorinstanz hat festgestellt, die Eltern hätten mit dem Nachzugsbegehren bis zum Frühjahr 1998 zugewartet, weil sie schlechte Erfahrungen mit dem Schulwechsel von C.S.s älterer Schwester gemacht hatten, die als 13-Jährige in die Schweiz gekommen sei; nach einer pädagogischen Beratung hätten sie entschieden, den Schulabschluss von C.S. abzuwarten. An dieser Stelle ist nicht zu beurteilen, ob und inwieweit das Vorgehen der Eltern sachgerecht gewesen ist. Entscheidend ist, dass die Vorinstanz die Ausführungen der Beschwerdegegner für glaubwürdig erachtet und festgehalten hat, diese hätten mit ihrem Gesuch vornehmlich die Zusammenführung der Familie angestrebt. Derartige Feststellungen über innere, psychische Vorgänge betreffen nach der Rechtsprechung tatsächliche Verhältnisse ( BGE 125 IV 242 E. 3c S. 252 mit Hinweisen) und sind für das Bundesgericht - gestützt auf Art. 105 Abs. 2 OG - grundsätzlich verbindlich (vgl. E. 1c). Deshalb ist der Vorinstanz auch zuzustimmen, wenn sie ausführt, die Absicht der Eltern, ihrer Tochter bessere Ausbildungs- und Arbeitsmöglichkeiten zu verschaffen, sei nicht rechtsmissbräuchlich. Ein Rechtsmissbrauch wäre vorliegend erst gegeben, wenn es allein - bzw. vor allem - wirtschaftliche Interessen gewesen wären, welche die Beschwerdegegner zum Familiennachzug bewogen hätten. Im Übrigen darf bei der Würdigung der konkreten Umstände durchaus berücksichtigt werden, dass die Eltern beide seit über 20 Jahren in der Schweiz leben und arbeiten und offenbar selbst kurz vor der Einbürgerung stehen, während ihr jüngster Sohn bereits Schweizer Bürger ist. Unter den gegebenen Umständen ist unerheblich, dass die Betreuung der Beschwerdeführerin 3 in der Heimat an sich noch möglich wäre. c) Schliesslich schadet vorliegend nicht, dass die Beschwerdegegnerin 3, die in der Schweiz geboren wurde, in ihre Heimat (Jugoslawien) ausgereist ist (vgl. E. 2b), hat sie doch weder wirklich in der Schweiz "gelebt" noch ist sie definitiv in ihr Heimatland zurückgekehrt: Sie wurde bereits wenige Wochen nach ihrer Geburt zu den Grosseltern väterlicherseits in Pflege gegeben. Die Ausreise hatte nicht endgültigen Charakter, war doch gemäss den plausiblen Ausführungen der Beschwerdegegner stets beabsichtigt, die Beschwerdegegnerin 3 später wieder mit ihrer Familie zu vereinen. Ihre Situation unterscheidet sich deshalb nicht wesentlich von jener eines Kindes, das im Ausland geboren und aufgewachsen ist. Im Übrigen ist es verständlich, dass die Eltern, welche offenbar beide erwerbstätig sind, sich nicht in der Lage sahen, alle Kinder selbst zu BGE 126 II 329 S. 335 betreuen; wie die Vorinstanz richtig erkannt hat, dürfte sich die (Gross-)Familie der Beschwerdegegner mit nicht unbedeutenden Problemen bezüglich Finanzen und Kinderbetreuung konfrontiert gesehen haben. Inwieweit damals allenfalls auch in der Schweiz eine Betreuung durch Drittpersonen hätte organisiert (und bezahlt) werden können, wie dies der Beschwerdeführer annimmt, kann heute nicht mehr zuverlässig beurteilt werden. d) Das angefochtene Urteil steht nach dem Gesagten mit Art. 17 Abs. 2 ANAG in Einklang, und die dagegen erhobene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